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40" w:rsidRPr="004150D5" w:rsidRDefault="009C3840" w:rsidP="00730DC8">
      <w:pPr>
        <w:pStyle w:val="DefaultText"/>
        <w:spacing w:line="360" w:lineRule="auto"/>
        <w:outlineLvl w:val="0"/>
        <w:rPr>
          <w:b/>
          <w:szCs w:val="24"/>
        </w:rPr>
      </w:pPr>
      <w:bookmarkStart w:id="0" w:name="_GoBack"/>
      <w:bookmarkEnd w:id="0"/>
    </w:p>
    <w:p w:rsidR="009C3840" w:rsidRPr="004150D5" w:rsidRDefault="009C3840" w:rsidP="008B58B7">
      <w:pPr>
        <w:pStyle w:val="DefaultText"/>
        <w:spacing w:line="360" w:lineRule="auto"/>
        <w:jc w:val="center"/>
        <w:outlineLvl w:val="0"/>
        <w:rPr>
          <w:b/>
          <w:bCs/>
          <w:szCs w:val="24"/>
        </w:rPr>
      </w:pPr>
      <w:bookmarkStart w:id="1" w:name="_Toc245814885"/>
      <w:bookmarkStart w:id="2" w:name="_Toc251054283"/>
      <w:bookmarkStart w:id="3" w:name="_Toc261505846"/>
      <w:r w:rsidRPr="004150D5">
        <w:rPr>
          <w:b/>
          <w:bCs/>
          <w:szCs w:val="24"/>
        </w:rPr>
        <w:t>ANEXA NR. 1</w:t>
      </w:r>
      <w:r>
        <w:rPr>
          <w:b/>
          <w:bCs/>
          <w:szCs w:val="24"/>
        </w:rPr>
        <w:t>3</w:t>
      </w:r>
      <w:r w:rsidRPr="004150D5">
        <w:rPr>
          <w:b/>
          <w:bCs/>
          <w:szCs w:val="24"/>
        </w:rPr>
        <w:t>. GLOSAR DE TERMENI</w:t>
      </w:r>
      <w:bookmarkEnd w:id="1"/>
      <w:bookmarkEnd w:id="2"/>
      <w:bookmarkEnd w:id="3"/>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Autoritatea de Management</w:t>
      </w:r>
      <w:r w:rsidRPr="004150D5">
        <w:rPr>
          <w:rFonts w:ascii="Times New Roman" w:hAnsi="Times New Roman" w:cs="Times New Roman"/>
          <w:color w:val="auto"/>
          <w:sz w:val="24"/>
          <w:szCs w:val="24"/>
          <w:lang w:val="ro-RO"/>
        </w:rPr>
        <w:t xml:space="preserve"> pentru POS CCE - s</w:t>
      </w:r>
      <w:r w:rsidRPr="004150D5">
        <w:rPr>
          <w:rFonts w:ascii="Times New Roman" w:hAnsi="Times New Roman" w:cs="Times New Roman"/>
          <w:color w:val="auto"/>
          <w:sz w:val="24"/>
          <w:szCs w:val="24"/>
          <w:lang w:val="ro-RO" w:eastAsia="en-GB"/>
        </w:rPr>
        <w:t xml:space="preserve">tructură organizatorică în cadrul Ministerului </w:t>
      </w:r>
      <w:r w:rsidRPr="00193ABA">
        <w:rPr>
          <w:rFonts w:ascii="Times New Roman" w:hAnsi="Times New Roman" w:cs="Times New Roman"/>
          <w:color w:val="auto"/>
          <w:sz w:val="24"/>
          <w:szCs w:val="24"/>
          <w:lang w:val="ro-RO" w:eastAsia="en-GB"/>
        </w:rPr>
        <w:t>Economiei</w:t>
      </w:r>
      <w:r>
        <w:rPr>
          <w:rFonts w:ascii="Times New Roman" w:hAnsi="Times New Roman" w:cs="Times New Roman"/>
          <w:color w:val="auto"/>
          <w:sz w:val="24"/>
          <w:szCs w:val="24"/>
          <w:lang w:val="ro-RO" w:eastAsia="en-GB"/>
        </w:rPr>
        <w:t xml:space="preserve">, </w:t>
      </w:r>
      <w:r w:rsidRPr="00193ABA">
        <w:rPr>
          <w:rFonts w:ascii="Times New Roman" w:hAnsi="Times New Roman" w:cs="Times New Roman"/>
          <w:color w:val="auto"/>
          <w:sz w:val="24"/>
          <w:szCs w:val="24"/>
          <w:lang w:val="ro-RO" w:eastAsia="en-GB"/>
        </w:rPr>
        <w:t>care</w:t>
      </w:r>
      <w:r w:rsidRPr="004150D5">
        <w:rPr>
          <w:rFonts w:ascii="Times New Roman" w:hAnsi="Times New Roman" w:cs="Times New Roman"/>
          <w:color w:val="auto"/>
          <w:sz w:val="24"/>
          <w:szCs w:val="24"/>
          <w:lang w:val="ro-RO" w:eastAsia="en-GB"/>
        </w:rPr>
        <w:t xml:space="preserve"> are responsabilitatea managementului, gestionarii şi implementării asistenţei financiare din instrumente structurale ale Uniunii Europene pentru POS CCE în cadrul perioadei de programare 2007– 2013.</w:t>
      </w:r>
    </w:p>
    <w:p w:rsidR="009C3840" w:rsidRPr="004150D5" w:rsidRDefault="009C3840" w:rsidP="00730DC8">
      <w:pPr>
        <w:autoSpaceDE w:val="0"/>
        <w:autoSpaceDN w:val="0"/>
        <w:adjustRightInd w:val="0"/>
        <w:spacing w:line="360" w:lineRule="auto"/>
        <w:jc w:val="both"/>
        <w:rPr>
          <w:b/>
          <w:lang w:val="ro-RO"/>
        </w:rPr>
      </w:pPr>
    </w:p>
    <w:p w:rsidR="009C3840" w:rsidRPr="004150D5" w:rsidRDefault="009C3840" w:rsidP="00730DC8">
      <w:pPr>
        <w:autoSpaceDE w:val="0"/>
        <w:autoSpaceDN w:val="0"/>
        <w:adjustRightInd w:val="0"/>
        <w:spacing w:line="360" w:lineRule="auto"/>
        <w:jc w:val="both"/>
        <w:rPr>
          <w:lang w:val="ro-RO"/>
        </w:rPr>
      </w:pPr>
      <w:r w:rsidRPr="004150D5">
        <w:rPr>
          <w:b/>
          <w:lang w:val="ro-RO"/>
        </w:rPr>
        <w:t xml:space="preserve">Autoritatea de Certificare şi Plată - </w:t>
      </w:r>
      <w:r w:rsidRPr="004150D5">
        <w:rPr>
          <w:lang w:val="ro-RO" w:eastAsia="en-GB"/>
        </w:rPr>
        <w:t xml:space="preserve">Structură organizatorică în cadrul Ministerului </w:t>
      </w:r>
      <w:r w:rsidRPr="00F74C5A">
        <w:rPr>
          <w:lang w:val="ro-RO" w:eastAsia="en-GB"/>
        </w:rPr>
        <w:t>Finantelor</w:t>
      </w:r>
      <w:r>
        <w:rPr>
          <w:lang w:val="ro-RO" w:eastAsia="en-GB"/>
        </w:rPr>
        <w:t xml:space="preserve"> Publice </w:t>
      </w:r>
      <w:r w:rsidRPr="004150D5">
        <w:rPr>
          <w:lang w:val="ro-RO" w:eastAsia="en-GB"/>
        </w:rPr>
        <w:t xml:space="preserve">responsabilă de certificarea sumelor cuprinse în declaraţiile de cheltuieli transmise la Comisia Europeană şi pentru primirea fondurilor transferate României din Fondul European de Dezvoltare Regională, Fondul Social European şi Fondul de Coeziune şi asigurarea transferului acestora către beneficiari, precum şi a sumelor de pre-finanţare şi cofinanţare aferente acestora din fonduri alocate de la bugetul de stat. </w:t>
      </w:r>
    </w:p>
    <w:p w:rsidR="009C3840" w:rsidRDefault="009C3840" w:rsidP="00730DC8">
      <w:pPr>
        <w:autoSpaceDE w:val="0"/>
        <w:autoSpaceDN w:val="0"/>
        <w:adjustRightInd w:val="0"/>
        <w:spacing w:line="360" w:lineRule="auto"/>
        <w:jc w:val="both"/>
        <w:rPr>
          <w:lang w:val="ro-RO"/>
        </w:rPr>
      </w:pPr>
    </w:p>
    <w:p w:rsidR="009C3840" w:rsidRDefault="009C3840" w:rsidP="00730DC8">
      <w:pPr>
        <w:autoSpaceDE w:val="0"/>
        <w:autoSpaceDN w:val="0"/>
        <w:adjustRightInd w:val="0"/>
        <w:spacing w:line="360" w:lineRule="auto"/>
        <w:jc w:val="both"/>
        <w:rPr>
          <w:lang w:val="ro-RO"/>
        </w:rPr>
      </w:pPr>
      <w:r w:rsidRPr="008B58B7">
        <w:rPr>
          <w:b/>
          <w:lang w:val="ro-RO"/>
        </w:rPr>
        <w:t>Asociaţie de Dezvoltare Intercomunitară (ADI)</w:t>
      </w:r>
      <w:r w:rsidRPr="004150D5">
        <w:rPr>
          <w:lang w:val="ro-RO"/>
        </w:rPr>
        <w:t xml:space="preserve"> </w:t>
      </w:r>
      <w:r>
        <w:rPr>
          <w:lang w:val="ro-RO"/>
        </w:rPr>
        <w:t xml:space="preserve">– organizaţie constituită </w:t>
      </w:r>
      <w:r w:rsidRPr="004150D5">
        <w:rPr>
          <w:lang w:val="ro-RO"/>
        </w:rPr>
        <w:t xml:space="preserve">în </w:t>
      </w:r>
      <w:r>
        <w:rPr>
          <w:lang w:val="ro-RO"/>
        </w:rPr>
        <w:t xml:space="preserve">baza </w:t>
      </w:r>
      <w:r w:rsidRPr="004150D5">
        <w:rPr>
          <w:lang w:val="ro-RO"/>
        </w:rPr>
        <w:t>Leg</w:t>
      </w:r>
      <w:r>
        <w:rPr>
          <w:lang w:val="ro-RO"/>
        </w:rPr>
        <w:t>ii</w:t>
      </w:r>
      <w:r w:rsidRPr="004150D5">
        <w:rPr>
          <w:lang w:val="ro-RO"/>
        </w:rPr>
        <w:t xml:space="preserve"> administraţiei publice locale nr. 215/2001, cu modificările şi completările ulterioare</w:t>
      </w:r>
    </w:p>
    <w:p w:rsidR="009C3840" w:rsidRPr="004150D5" w:rsidRDefault="009C3840" w:rsidP="00730DC8">
      <w:pPr>
        <w:autoSpaceDE w:val="0"/>
        <w:autoSpaceDN w:val="0"/>
        <w:adjustRightInd w:val="0"/>
        <w:spacing w:line="360" w:lineRule="auto"/>
        <w:jc w:val="both"/>
        <w:rPr>
          <w:lang w:val="ro-RO"/>
        </w:rPr>
      </w:pPr>
    </w:p>
    <w:p w:rsidR="009C3840" w:rsidRPr="004150D5" w:rsidRDefault="009C3840" w:rsidP="00730DC8">
      <w:pPr>
        <w:autoSpaceDE w:val="0"/>
        <w:autoSpaceDN w:val="0"/>
        <w:adjustRightInd w:val="0"/>
        <w:spacing w:line="360" w:lineRule="auto"/>
        <w:jc w:val="both"/>
        <w:rPr>
          <w:lang w:val="ro-RO"/>
        </w:rPr>
      </w:pPr>
      <w:r w:rsidRPr="004150D5">
        <w:rPr>
          <w:b/>
          <w:lang w:val="ro-RO"/>
        </w:rPr>
        <w:t>Axă prioritară</w:t>
      </w:r>
      <w:r w:rsidRPr="004150D5">
        <w:rPr>
          <w:lang w:val="ro-RO"/>
        </w:rPr>
        <w:t xml:space="preserve"> - una dintre priorităţile strategice dintr-un program operaţional; cuprinde un grup de operaţiuni legate între ele şi având obiective specifice măsurabile.  (Regulamentul Consiliului nr. 1083 din 2006). </w:t>
      </w:r>
    </w:p>
    <w:p w:rsidR="009C3840" w:rsidRPr="004150D5" w:rsidRDefault="009C3840" w:rsidP="00730DC8">
      <w:pPr>
        <w:autoSpaceDE w:val="0"/>
        <w:autoSpaceDN w:val="0"/>
        <w:adjustRightInd w:val="0"/>
        <w:spacing w:line="360" w:lineRule="auto"/>
        <w:jc w:val="both"/>
        <w:rPr>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eastAsia="en-GB"/>
        </w:rPr>
      </w:pPr>
      <w:r w:rsidRPr="004150D5">
        <w:rPr>
          <w:rFonts w:ascii="Times New Roman" w:hAnsi="Times New Roman" w:cs="Times New Roman"/>
          <w:b/>
          <w:bCs/>
          <w:color w:val="auto"/>
          <w:sz w:val="24"/>
          <w:szCs w:val="24"/>
          <w:lang w:val="ro-RO"/>
        </w:rPr>
        <w:t xml:space="preserve">Beneficiarul </w:t>
      </w:r>
      <w:r>
        <w:rPr>
          <w:rFonts w:ascii="Times New Roman" w:hAnsi="Times New Roman" w:cs="Times New Roman"/>
          <w:b/>
          <w:bCs/>
          <w:color w:val="auto"/>
          <w:sz w:val="24"/>
          <w:szCs w:val="24"/>
          <w:lang w:val="ro-RO"/>
        </w:rPr>
        <w:t xml:space="preserve">- </w:t>
      </w:r>
      <w:r w:rsidRPr="004150D5">
        <w:rPr>
          <w:rFonts w:ascii="Times New Roman" w:hAnsi="Times New Roman" w:cs="Times New Roman"/>
          <w:color w:val="auto"/>
          <w:sz w:val="24"/>
          <w:szCs w:val="24"/>
          <w:lang w:val="ro-RO"/>
        </w:rPr>
        <w:t xml:space="preserve">organism sau instituţie cu capital public sau privat </w:t>
      </w:r>
      <w:r w:rsidRPr="004150D5">
        <w:rPr>
          <w:rFonts w:ascii="Times New Roman" w:hAnsi="Times New Roman" w:cs="Times New Roman"/>
          <w:color w:val="auto"/>
          <w:sz w:val="24"/>
          <w:szCs w:val="24"/>
          <w:lang w:val="ro-RO" w:eastAsia="en-GB"/>
        </w:rPr>
        <w:t xml:space="preserve">responsabil/ă cu execuţia proiectului, în urma aprobării cererii de finanţare.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eastAsia="en-GB"/>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r w:rsidRPr="004150D5">
        <w:rPr>
          <w:rFonts w:ascii="Times New Roman" w:hAnsi="Times New Roman" w:cs="Times New Roman"/>
          <w:b/>
          <w:bCs/>
          <w:color w:val="auto"/>
          <w:sz w:val="24"/>
          <w:szCs w:val="24"/>
          <w:lang w:val="ro-RO" w:eastAsia="en-GB"/>
        </w:rPr>
        <w:t>Cerere de finanţare</w:t>
      </w:r>
      <w:r w:rsidRPr="004150D5">
        <w:rPr>
          <w:rFonts w:ascii="Times New Roman" w:hAnsi="Times New Roman" w:cs="Times New Roman"/>
          <w:color w:val="auto"/>
          <w:sz w:val="24"/>
          <w:szCs w:val="24"/>
          <w:lang w:val="ro-RO" w:eastAsia="en-GB"/>
        </w:rPr>
        <w:t xml:space="preserve"> - formularul completat de către solicitant în vederea obţinerii finanţării din POS CCE 2007-2013, anexat Ghidului solicitantului.</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Cs/>
          <w:color w:val="auto"/>
          <w:sz w:val="24"/>
          <w:szCs w:val="24"/>
          <w:lang w:val="ro-RO"/>
        </w:rPr>
      </w:pPr>
      <w:r w:rsidRPr="004150D5">
        <w:rPr>
          <w:rFonts w:ascii="Times New Roman" w:hAnsi="Times New Roman" w:cs="Times New Roman"/>
          <w:b/>
          <w:bCs/>
          <w:color w:val="auto"/>
          <w:sz w:val="24"/>
          <w:szCs w:val="24"/>
          <w:lang w:val="ro-RO"/>
        </w:rPr>
        <w:lastRenderedPageBreak/>
        <w:t xml:space="preserve">Cerere de rambursare </w:t>
      </w:r>
      <w:r w:rsidRPr="004150D5">
        <w:rPr>
          <w:rFonts w:ascii="Times New Roman" w:hAnsi="Times New Roman" w:cs="Times New Roman"/>
          <w:bCs/>
          <w:color w:val="auto"/>
          <w:sz w:val="24"/>
          <w:szCs w:val="24"/>
          <w:lang w:val="ro-RO"/>
        </w:rPr>
        <w:t xml:space="preserve">– cerere adresată instituţiei finanţatoare, de către beneficiar </w:t>
      </w:r>
      <w:r w:rsidRPr="004150D5">
        <w:rPr>
          <w:rFonts w:ascii="Times New Roman" w:hAnsi="Times New Roman" w:cs="Times New Roman"/>
          <w:color w:val="auto"/>
          <w:sz w:val="24"/>
          <w:szCs w:val="24"/>
          <w:lang w:val="ro-RO"/>
        </w:rPr>
        <w:t>, prin care acesta  solicită decontarea unor cheltuieli deja efectuate.</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Comitetul de monitorizare</w:t>
      </w:r>
      <w:r w:rsidRPr="004150D5">
        <w:rPr>
          <w:rFonts w:ascii="Times New Roman" w:hAnsi="Times New Roman" w:cs="Times New Roman"/>
          <w:color w:val="auto"/>
          <w:sz w:val="24"/>
          <w:szCs w:val="24"/>
          <w:lang w:val="ro-RO"/>
        </w:rPr>
        <w:t xml:space="preserve"> – </w:t>
      </w:r>
      <w:r w:rsidRPr="004150D5">
        <w:rPr>
          <w:rFonts w:ascii="Times New Roman" w:hAnsi="Times New Roman" w:cs="Times New Roman"/>
          <w:color w:val="auto"/>
          <w:sz w:val="24"/>
          <w:szCs w:val="24"/>
          <w:lang w:val="ro-RO" w:eastAsia="en-GB"/>
        </w:rPr>
        <w:t xml:space="preserve">organism constituit la nivelul Autorităţii de Management care asigură coordonarea finanţării prin POS </w:t>
      </w:r>
      <w:r w:rsidRPr="004150D5">
        <w:rPr>
          <w:rFonts w:ascii="Times New Roman" w:hAnsi="Times New Roman" w:cs="Times New Roman"/>
          <w:color w:val="auto"/>
          <w:sz w:val="24"/>
          <w:szCs w:val="24"/>
          <w:lang w:val="ro-RO"/>
        </w:rPr>
        <w:t xml:space="preserve"> precum şi urmărirea eficienţei şi calităţii implementării asistenţei comunitare, modul de utilizare şi impactul acesteia, cu respectarea prevederilor comunitare în materie. Se constituie un comitet de monitorizare pentru cadrul de sprijin comunitar şi câte un comitet de monitorizare pentru fiecare program operaţional.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p>
    <w:p w:rsidR="009C3840" w:rsidRPr="004150D5" w:rsidRDefault="009C3840" w:rsidP="00730DC8">
      <w:pPr>
        <w:autoSpaceDE w:val="0"/>
        <w:autoSpaceDN w:val="0"/>
        <w:adjustRightInd w:val="0"/>
        <w:spacing w:line="360" w:lineRule="auto"/>
        <w:jc w:val="both"/>
        <w:rPr>
          <w:lang w:val="ro-RO"/>
        </w:rPr>
      </w:pPr>
      <w:r w:rsidRPr="004150D5">
        <w:rPr>
          <w:b/>
          <w:lang w:val="ro-RO"/>
        </w:rPr>
        <w:t xml:space="preserve">Cheltuieli eligibile - </w:t>
      </w:r>
      <w:r w:rsidRPr="004150D5">
        <w:rPr>
          <w:lang w:val="ro-RO"/>
        </w:rPr>
        <w:t>Cheltuieli</w:t>
      </w:r>
      <w:r w:rsidRPr="004150D5">
        <w:rPr>
          <w:lang w:val="ro-RO" w:eastAsia="en-GB"/>
        </w:rPr>
        <w:t xml:space="preserve"> realizate de către beneficiar pentru implementarea proiectelor finanţate în cadrul POS CCE, care pot fi finanţate atât din Instrumentele Structurale, cât şi din bugetul de stat şi din contribuţia proprie a beneficiarului.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eastAsia="en-GB"/>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r w:rsidRPr="004150D5">
        <w:rPr>
          <w:rFonts w:ascii="Times New Roman" w:hAnsi="Times New Roman" w:cs="Times New Roman"/>
          <w:b/>
          <w:bCs/>
          <w:color w:val="auto"/>
          <w:sz w:val="24"/>
          <w:szCs w:val="24"/>
          <w:lang w:val="ro-RO" w:eastAsia="en-GB"/>
        </w:rPr>
        <w:t>Comitet de selecţie</w:t>
      </w:r>
      <w:r w:rsidRPr="004150D5">
        <w:rPr>
          <w:rFonts w:ascii="Times New Roman" w:hAnsi="Times New Roman" w:cs="Times New Roman"/>
          <w:color w:val="auto"/>
          <w:sz w:val="24"/>
          <w:szCs w:val="24"/>
          <w:lang w:val="ro-RO" w:eastAsia="en-GB"/>
        </w:rPr>
        <w:t xml:space="preserve"> - Organism, fără personalitate juridică, creat la nivelul OIPSI  care are ca scop selectarea proiectelor depuse de solicitanţi în scopul finanţării prin POS CCE 2007-2013.</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 xml:space="preserve">CRM – Customer Relationship Management – </w:t>
      </w:r>
      <w:r w:rsidRPr="004150D5">
        <w:rPr>
          <w:rFonts w:ascii="Times New Roman" w:hAnsi="Times New Roman" w:cs="Times New Roman"/>
          <w:bCs/>
          <w:color w:val="auto"/>
          <w:sz w:val="24"/>
          <w:szCs w:val="24"/>
          <w:lang w:val="ro-RO"/>
        </w:rPr>
        <w:t xml:space="preserve">Sistem informatic integrat folosit de un agent economic pentru planificarea şi controlul activităţilor pre şi post vânzare. </w:t>
      </w:r>
      <w:r w:rsidRPr="004150D5">
        <w:rPr>
          <w:rFonts w:ascii="Times New Roman" w:hAnsi="Times New Roman" w:cs="Times New Roman"/>
          <w:color w:val="auto"/>
          <w:sz w:val="24"/>
          <w:szCs w:val="24"/>
          <w:lang w:val="ro-RO"/>
        </w:rPr>
        <w:t>CRM include toate aspectele referitoare la prospectarea pieţii, atragerea clienţilor, incluzând call center, departament de vânzări, marketing, suport tehnic, etc. Principalul obiectiv al unui sistem CRM este acela de a îmbunătăţi relaţia companiei cu clienţii pe termen lung.</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 xml:space="preserve">De minimis </w:t>
      </w:r>
      <w:r w:rsidRPr="004150D5">
        <w:rPr>
          <w:rFonts w:ascii="Times New Roman" w:hAnsi="Times New Roman" w:cs="Times New Roman"/>
          <w:color w:val="auto"/>
          <w:sz w:val="24"/>
          <w:szCs w:val="24"/>
          <w:lang w:val="ro-RO"/>
        </w:rPr>
        <w:t>– pragul sub care cerinţele Regulilor pentru ajutorul de stat nu se aplică. Ajutorul de minimis cumulat pe o perioadă de 3 ani fiscali consecutivi nu trebuie să depăşească echivalentul în lei a 200.000 de euro. În cazul operatorilor economici din domeniul transportului rutier limita este  echivalentul în lei a 100 000 euro pe o perioadă de trei ani fiscali.</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color w:val="auto"/>
          <w:sz w:val="24"/>
          <w:szCs w:val="24"/>
          <w:lang w:val="ro-RO"/>
        </w:rPr>
        <w:t>DLAF</w:t>
      </w:r>
      <w:r w:rsidRPr="004150D5">
        <w:rPr>
          <w:rFonts w:ascii="Times New Roman" w:hAnsi="Times New Roman" w:cs="Times New Roman"/>
          <w:iCs/>
          <w:color w:val="auto"/>
          <w:sz w:val="24"/>
          <w:szCs w:val="24"/>
          <w:lang w:val="ro-RO"/>
        </w:rPr>
        <w:t xml:space="preserve"> - Departamentul pentru Lupta Antifraudă</w:t>
      </w:r>
      <w:r w:rsidRPr="004150D5">
        <w:rPr>
          <w:rFonts w:ascii="Times New Roman" w:hAnsi="Times New Roman" w:cs="Times New Roman"/>
          <w:color w:val="auto"/>
          <w:sz w:val="24"/>
          <w:szCs w:val="24"/>
          <w:lang w:val="ro-RO"/>
        </w:rPr>
        <w:t xml:space="preserve"> – organismul constituit sub directa coordonare a primului ministru, de contact cu Oficiul European de Luptă Antifraudă – OLAF din cadrul Comisiei </w:t>
      </w:r>
      <w:r w:rsidRPr="004150D5">
        <w:rPr>
          <w:rFonts w:ascii="Times New Roman" w:hAnsi="Times New Roman" w:cs="Times New Roman"/>
          <w:color w:val="auto"/>
          <w:sz w:val="24"/>
          <w:szCs w:val="24"/>
          <w:lang w:val="ro-RO"/>
        </w:rPr>
        <w:lastRenderedPageBreak/>
        <w:t>Europene, având calitatea de Serviciu de coordonare antifraudă în România (conform Deciziei Primului Ministru 205/2007)</w:t>
      </w:r>
    </w:p>
    <w:p w:rsidR="009C3840" w:rsidRPr="004150D5" w:rsidRDefault="009C3840" w:rsidP="00730DC8">
      <w:pPr>
        <w:spacing w:line="360" w:lineRule="auto"/>
        <w:jc w:val="both"/>
        <w:rPr>
          <w:b/>
          <w:lang w:val="ro-RO"/>
        </w:rPr>
      </w:pPr>
    </w:p>
    <w:p w:rsidR="009C3840" w:rsidRPr="004150D5" w:rsidRDefault="009C3840" w:rsidP="00730DC8">
      <w:pPr>
        <w:spacing w:line="360" w:lineRule="auto"/>
        <w:jc w:val="both"/>
        <w:rPr>
          <w:lang w:val="ro-RO"/>
        </w:rPr>
      </w:pPr>
      <w:r w:rsidRPr="004150D5">
        <w:rPr>
          <w:b/>
          <w:lang w:val="ro-RO"/>
        </w:rPr>
        <w:t>Domeniu –</w:t>
      </w:r>
      <w:r w:rsidRPr="004150D5">
        <w:rPr>
          <w:lang w:val="ro-RO"/>
        </w:rPr>
        <w:t xml:space="preserve"> eticheta unică ce identifică un anumit website; </w:t>
      </w:r>
    </w:p>
    <w:p w:rsidR="009C3840" w:rsidRPr="004150D5" w:rsidRDefault="009C3840" w:rsidP="00730DC8">
      <w:pPr>
        <w:spacing w:line="360" w:lineRule="auto"/>
        <w:jc w:val="both"/>
        <w:rPr>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color w:val="auto"/>
          <w:sz w:val="24"/>
          <w:szCs w:val="24"/>
          <w:lang w:val="ro-RO"/>
        </w:rPr>
      </w:pPr>
      <w:r w:rsidRPr="004150D5">
        <w:rPr>
          <w:rFonts w:ascii="Times New Roman" w:hAnsi="Times New Roman" w:cs="Times New Roman"/>
          <w:b/>
          <w:color w:val="auto"/>
          <w:sz w:val="24"/>
          <w:szCs w:val="24"/>
          <w:lang w:val="ro-RO"/>
        </w:rPr>
        <w:t xml:space="preserve">e-guvernare - </w:t>
      </w:r>
      <w:r w:rsidRPr="004150D5">
        <w:rPr>
          <w:rFonts w:ascii="Times New Roman" w:hAnsi="Times New Roman" w:cs="Times New Roman"/>
          <w:color w:val="auto"/>
          <w:sz w:val="24"/>
          <w:szCs w:val="24"/>
          <w:lang w:val="ro-RO"/>
        </w:rPr>
        <w:t>utilizarea tehnologiei informaţiei şi a comunicaţiilor şi în particular a Internetului ca instrument pentru oferirea de servicii publice prin Internet în scopul creşterii calităţii serviciilor publice furnizate.</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Cs/>
          <w:color w:val="auto"/>
          <w:sz w:val="24"/>
          <w:szCs w:val="24"/>
          <w:lang w:val="ro-RO"/>
        </w:rPr>
      </w:pPr>
    </w:p>
    <w:p w:rsidR="009C3840" w:rsidRPr="004150D5" w:rsidRDefault="009C3840" w:rsidP="00730DC8">
      <w:pPr>
        <w:tabs>
          <w:tab w:val="left" w:pos="720"/>
        </w:tabs>
        <w:autoSpaceDE w:val="0"/>
        <w:autoSpaceDN w:val="0"/>
        <w:adjustRightInd w:val="0"/>
        <w:spacing w:line="360" w:lineRule="auto"/>
        <w:jc w:val="both"/>
        <w:rPr>
          <w:lang w:val="ro-RO"/>
        </w:rPr>
      </w:pPr>
      <w:r w:rsidRPr="004150D5">
        <w:rPr>
          <w:b/>
          <w:bCs/>
          <w:lang w:val="ro-RO"/>
        </w:rPr>
        <w:t>E-learning</w:t>
      </w:r>
      <w:r w:rsidRPr="004150D5">
        <w:rPr>
          <w:bCs/>
          <w:lang w:val="ro-RO"/>
        </w:rPr>
        <w:t xml:space="preserve"> - </w:t>
      </w:r>
      <w:r w:rsidRPr="004150D5">
        <w:rPr>
          <w:lang w:val="ro-RO"/>
        </w:rPr>
        <w:t xml:space="preserve">sistem de formare profesională, utilizând tehnologiile specifice Internetului,  ce constă într-o experienţă planificată de predare-învăţare, organizată de o instituţie ce furnizează  materiale într-o ordine secvenţială şi logică pentru a fi asimilate de cursanţi în manieră proprie, fără a constrânge agenţii activităţii la coprezenţă sau sincronicitate. Sistemele informatice de e-learning finanţate prin Fonduri Structurale trebuie să asigure inclusiv medierea  prin tehnologii de transmitere a suportului de curs şi examinării (dacă este cazul)  prin Internet.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 xml:space="preserve">ERP – Enterprise Resource Planning – </w:t>
      </w:r>
      <w:r w:rsidRPr="004150D5">
        <w:rPr>
          <w:rFonts w:ascii="Times New Roman" w:hAnsi="Times New Roman" w:cs="Times New Roman"/>
          <w:color w:val="auto"/>
          <w:sz w:val="24"/>
          <w:szCs w:val="24"/>
          <w:lang w:val="ro-RO"/>
        </w:rPr>
        <w:t xml:space="preserve">Sistem informatic integrat care asigură inter-operabilitatea tuturor departamentelor din cadrul unei companii, din punct de vedere al proceselor derulate. Un sistem ERP include module de software pentru toate activităţle unei companii: producţie, comenzi, contabilitate, furnizori, depozite, transport, resurse umane etc.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Cs/>
          <w:color w:val="auto"/>
          <w:sz w:val="24"/>
          <w:szCs w:val="24"/>
          <w:lang w:val="ro-RO"/>
        </w:rPr>
      </w:pPr>
    </w:p>
    <w:p w:rsidR="009C3840" w:rsidRPr="004150D5" w:rsidRDefault="009C3840" w:rsidP="00730DC8">
      <w:pPr>
        <w:spacing w:line="360" w:lineRule="auto"/>
        <w:jc w:val="both"/>
        <w:rPr>
          <w:lang w:val="ro-RO"/>
        </w:rPr>
      </w:pPr>
      <w:r w:rsidRPr="004150D5">
        <w:rPr>
          <w:b/>
          <w:bCs/>
          <w:lang w:val="ro-RO"/>
        </w:rPr>
        <w:t>E-payment</w:t>
      </w:r>
      <w:r w:rsidRPr="004150D5">
        <w:rPr>
          <w:bCs/>
          <w:lang w:val="ro-RO"/>
        </w:rPr>
        <w:t xml:space="preserve"> – plată efectuată prin orice mijloc electronic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Cs/>
          <w:color w:val="auto"/>
          <w:sz w:val="24"/>
          <w:szCs w:val="24"/>
          <w:lang w:val="ro-RO"/>
        </w:rPr>
      </w:pPr>
    </w:p>
    <w:p w:rsidR="009C3840" w:rsidRPr="004150D5" w:rsidRDefault="009C3840" w:rsidP="00730DC8">
      <w:pPr>
        <w:spacing w:line="360" w:lineRule="auto"/>
        <w:jc w:val="both"/>
        <w:rPr>
          <w:lang w:val="ro-RO"/>
        </w:rPr>
      </w:pPr>
      <w:r w:rsidRPr="004150D5">
        <w:rPr>
          <w:b/>
          <w:lang w:val="ro-RO"/>
        </w:rPr>
        <w:t xml:space="preserve">FEDR - </w:t>
      </w:r>
      <w:r w:rsidRPr="004150D5">
        <w:rPr>
          <w:lang w:val="ro-RO"/>
        </w:rPr>
        <w:t xml:space="preserve">Fondul European de Dezvoltare Regională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Fondurile structurale</w:t>
      </w:r>
      <w:r w:rsidRPr="004150D5">
        <w:rPr>
          <w:rFonts w:ascii="Times New Roman" w:hAnsi="Times New Roman" w:cs="Times New Roman"/>
          <w:color w:val="auto"/>
          <w:sz w:val="24"/>
          <w:szCs w:val="24"/>
          <w:lang w:val="ro-RO"/>
        </w:rPr>
        <w:t xml:space="preserve"> sunt instrumente financiare prin care Uniunea Europeană acţionează pentru eliminarea disparităţilor economice şi sociale între regiuni, în scopul realizării coeziunii economice şi sociale: </w:t>
      </w:r>
    </w:p>
    <w:p w:rsidR="009C3840" w:rsidRPr="004150D5" w:rsidRDefault="009C3840" w:rsidP="00730DC8">
      <w:pPr>
        <w:pStyle w:val="NormalWeb"/>
        <w:spacing w:before="0" w:beforeAutospacing="0" w:after="0" w:afterAutospacing="0" w:line="360" w:lineRule="auto"/>
        <w:ind w:firstLine="720"/>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lastRenderedPageBreak/>
        <w:t xml:space="preserve">a) </w:t>
      </w:r>
      <w:r w:rsidRPr="004150D5">
        <w:rPr>
          <w:rFonts w:ascii="Times New Roman" w:hAnsi="Times New Roman" w:cs="Times New Roman"/>
          <w:color w:val="auto"/>
          <w:sz w:val="24"/>
          <w:szCs w:val="24"/>
          <w:lang w:val="ro-RO"/>
        </w:rPr>
        <w:t>Fondul European pentru Dezvoltare Regională este fondul structural care sprijină regiunile mai puţin dezvoltate, prin finanţarea de investiţii în sectorul productiv, infrastructură, educaţie, sănătate, dezvoltare locală şi întreprinderi mici şi mijlocii (conform HG 497/2004);</w:t>
      </w:r>
    </w:p>
    <w:p w:rsidR="009C3840" w:rsidRPr="004150D5" w:rsidRDefault="009C3840" w:rsidP="00730DC8">
      <w:pPr>
        <w:pStyle w:val="NormalWeb"/>
        <w:spacing w:before="0" w:beforeAutospacing="0" w:after="0" w:afterAutospacing="0" w:line="360" w:lineRule="auto"/>
        <w:ind w:firstLine="720"/>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 xml:space="preserve">b) </w:t>
      </w:r>
      <w:r w:rsidRPr="004150D5">
        <w:rPr>
          <w:rFonts w:ascii="Times New Roman" w:hAnsi="Times New Roman" w:cs="Times New Roman"/>
          <w:color w:val="auto"/>
          <w:sz w:val="24"/>
          <w:szCs w:val="24"/>
          <w:lang w:val="ro-RO"/>
        </w:rPr>
        <w:t>Fondul Social European este fondul structural destinat politicii sociale a Uniunii Europene, care sprijină măsuri de ocupare a forţei de muncă şi dezvoltare a resurselor umane. (conform HG 497/2004)</w:t>
      </w:r>
    </w:p>
    <w:p w:rsidR="009C3840" w:rsidRPr="004150D5" w:rsidRDefault="009C3840" w:rsidP="00730DC8">
      <w:pPr>
        <w:spacing w:line="360" w:lineRule="auto"/>
        <w:jc w:val="both"/>
        <w:rPr>
          <w:b/>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 xml:space="preserve">IMM </w:t>
      </w:r>
      <w:r w:rsidRPr="004150D5">
        <w:rPr>
          <w:rFonts w:ascii="Times New Roman" w:hAnsi="Times New Roman" w:cs="Times New Roman"/>
          <w:color w:val="auto"/>
          <w:sz w:val="24"/>
          <w:szCs w:val="24"/>
          <w:lang w:val="ro-RO"/>
        </w:rPr>
        <w:t xml:space="preserve">- Întreprinderi Mici şi Mijlocii. Se clasifică, conform Legii 346/2004 cu modificările şi completările ulterioare, în funcţie de numărul mediu anual de salariaţi şi de cifra de afaceri anuală netă sau de activele totale pe care le deţin, în următoarele categorii: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color w:val="auto"/>
          <w:sz w:val="24"/>
          <w:szCs w:val="24"/>
          <w:lang w:val="ro-RO"/>
        </w:rPr>
        <w:t xml:space="preserve">a) microîntreprinderi - au până la 9 salariaţi şi realizează o cifră de afaceri anuală netă sau deţin active totale de până la 2 milioane euro, echivalent în lei;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color w:val="auto"/>
          <w:sz w:val="24"/>
          <w:szCs w:val="24"/>
          <w:lang w:val="ro-RO"/>
        </w:rPr>
        <w:t xml:space="preserve">b) întreprinderi mici - au între 10 şi 49 de salariaţi şi realizează o cifră de afaceri anuală netă sau deţin active totale de până la 10 milioane euro, echivalent în lei;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color w:val="auto"/>
          <w:sz w:val="24"/>
          <w:szCs w:val="24"/>
          <w:lang w:val="ro-RO"/>
        </w:rPr>
        <w:t xml:space="preserve">c) întreprinderi mijlocii - au între 50 şi 249 de salariaţi şi realizează o cifră de afaceri anuală netă de până la 50 milioane euro, echivalent în lei, sau deţin active totale care nu depăşesc echivalentul în lei a 43 milioane euro. </w:t>
      </w:r>
    </w:p>
    <w:p w:rsidR="009C3840" w:rsidRPr="004150D5" w:rsidRDefault="009C3840" w:rsidP="00730DC8">
      <w:pPr>
        <w:spacing w:line="360" w:lineRule="auto"/>
        <w:jc w:val="both"/>
        <w:rPr>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 xml:space="preserve">Instrumente structurale </w:t>
      </w:r>
      <w:r w:rsidRPr="004150D5">
        <w:rPr>
          <w:rFonts w:ascii="Times New Roman" w:hAnsi="Times New Roman" w:cs="Times New Roman"/>
          <w:color w:val="auto"/>
          <w:sz w:val="24"/>
          <w:szCs w:val="24"/>
          <w:lang w:val="ro-RO"/>
        </w:rPr>
        <w:t xml:space="preserve">- denumesc fondurile structurale şi fondul de coeziune luate în ansamblu.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 xml:space="preserve">Internet </w:t>
      </w:r>
      <w:r w:rsidRPr="004150D5">
        <w:rPr>
          <w:rFonts w:ascii="Times New Roman" w:hAnsi="Times New Roman" w:cs="Times New Roman"/>
          <w:color w:val="auto"/>
          <w:sz w:val="24"/>
          <w:szCs w:val="24"/>
          <w:lang w:val="ro-RO"/>
        </w:rPr>
        <w:t xml:space="preserve">- reţeaua globală compusă din milioane de reţele de calculatoare interconectate.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spacing w:line="360" w:lineRule="auto"/>
        <w:jc w:val="both"/>
        <w:rPr>
          <w:bCs/>
          <w:lang w:val="ro-RO"/>
        </w:rPr>
      </w:pPr>
      <w:r w:rsidRPr="004150D5">
        <w:rPr>
          <w:b/>
          <w:bCs/>
          <w:lang w:val="ro-RO"/>
        </w:rPr>
        <w:t xml:space="preserve">Interoperabilitate - </w:t>
      </w:r>
      <w:r w:rsidRPr="004150D5">
        <w:rPr>
          <w:bCs/>
          <w:lang w:val="ro-RO"/>
        </w:rPr>
        <w:t>reprezintă abilitatea sistemelor TIC şi a proceselor pe care acestea le susţin, de a schimba date şi de a permite utilizarea în comun a informaţiilor.</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ISP – Internet Service Provider – Furnizor de servicii Internet;</w:t>
      </w:r>
      <w:r w:rsidRPr="004150D5">
        <w:rPr>
          <w:rFonts w:ascii="Times New Roman" w:hAnsi="Times New Roman" w:cs="Times New Roman"/>
          <w:color w:val="auto"/>
          <w:sz w:val="24"/>
          <w:szCs w:val="24"/>
          <w:lang w:val="ro-RO"/>
        </w:rPr>
        <w:t xml:space="preserve"> </w:t>
      </w:r>
    </w:p>
    <w:p w:rsidR="009C3840" w:rsidRPr="004150D5" w:rsidRDefault="009C3840" w:rsidP="00730DC8">
      <w:pPr>
        <w:spacing w:line="360" w:lineRule="auto"/>
        <w:jc w:val="both"/>
        <w:rPr>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color w:val="auto"/>
          <w:sz w:val="24"/>
          <w:szCs w:val="24"/>
          <w:lang w:val="ro-RO"/>
        </w:rPr>
        <w:t>NIR</w:t>
      </w:r>
      <w:r w:rsidRPr="004150D5">
        <w:rPr>
          <w:rFonts w:ascii="Times New Roman" w:hAnsi="Times New Roman" w:cs="Times New Roman"/>
          <w:color w:val="auto"/>
          <w:sz w:val="24"/>
          <w:szCs w:val="24"/>
          <w:lang w:val="ro-RO"/>
        </w:rPr>
        <w:t xml:space="preserve"> – Notă Intrare Recepţie</w:t>
      </w:r>
    </w:p>
    <w:p w:rsidR="009C3840" w:rsidRPr="004150D5" w:rsidRDefault="009C3840" w:rsidP="00730DC8">
      <w:pPr>
        <w:spacing w:line="360" w:lineRule="auto"/>
        <w:jc w:val="both"/>
        <w:rPr>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lastRenderedPageBreak/>
        <w:t xml:space="preserve">ONG </w:t>
      </w:r>
      <w:r w:rsidRPr="004150D5">
        <w:rPr>
          <w:rFonts w:ascii="Times New Roman" w:hAnsi="Times New Roman" w:cs="Times New Roman"/>
          <w:color w:val="auto"/>
          <w:sz w:val="24"/>
          <w:szCs w:val="24"/>
          <w:lang w:val="ro-RO"/>
        </w:rPr>
        <w:t xml:space="preserve">- organizaţie non-guvernamentală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color w:val="auto"/>
          <w:sz w:val="24"/>
          <w:szCs w:val="24"/>
          <w:lang w:val="ro-RO"/>
        </w:rPr>
        <w:t>OPCP</w:t>
      </w:r>
      <w:r w:rsidRPr="004150D5">
        <w:rPr>
          <w:rFonts w:ascii="Times New Roman" w:hAnsi="Times New Roman" w:cs="Times New Roman"/>
          <w:color w:val="auto"/>
          <w:sz w:val="24"/>
          <w:szCs w:val="24"/>
          <w:lang w:val="ro-RO"/>
        </w:rPr>
        <w:t xml:space="preserve"> – Oficiul de Plaţi şi Contractare Phare, Unitate de Plată pentru POS CCE</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 xml:space="preserve">Organism Intermediar </w:t>
      </w:r>
      <w:r w:rsidRPr="004150D5">
        <w:rPr>
          <w:rFonts w:ascii="Times New Roman" w:hAnsi="Times New Roman" w:cs="Times New Roman"/>
          <w:color w:val="auto"/>
          <w:sz w:val="24"/>
          <w:szCs w:val="24"/>
          <w:lang w:val="ro-RO"/>
        </w:rPr>
        <w:t>(</w:t>
      </w:r>
      <w:r w:rsidRPr="004150D5">
        <w:rPr>
          <w:rFonts w:ascii="Times New Roman" w:hAnsi="Times New Roman" w:cs="Times New Roman"/>
          <w:i/>
          <w:color w:val="auto"/>
          <w:sz w:val="24"/>
          <w:szCs w:val="24"/>
          <w:lang w:val="ro-RO"/>
        </w:rPr>
        <w:t>Organismul Intermediar pentru Promovarea Societăţii Informaţional</w:t>
      </w:r>
      <w:r w:rsidRPr="004150D5">
        <w:rPr>
          <w:rFonts w:ascii="Times New Roman" w:hAnsi="Times New Roman" w:cs="Times New Roman"/>
          <w:color w:val="auto"/>
          <w:sz w:val="24"/>
          <w:szCs w:val="24"/>
          <w:lang w:val="ro-RO"/>
        </w:rPr>
        <w:t xml:space="preserve">e) este instituţia desemnată de autorităţile de management şi/sau de autoritatea de plată care, prin delegare de atribuţii de la acestea, implementează măsurile din programele operaţionale. Delegarea de atribuţii către organismul intermediar şi reglementarea mecanismelor de coordonare şi control ale acestuia de către autoritatea care deleagă se fac pe bază de acord/protocol. Autorităţile de management şi/sau autoritatea de plată rămân responsabile pentru îndeplinirea corespunzătoare a atribuţiilor delegate, precum şi a operaţiunilor finanţate prin instrumentele structurale. </w:t>
      </w:r>
    </w:p>
    <w:p w:rsidR="009C3840" w:rsidRPr="004150D5" w:rsidRDefault="009C3840" w:rsidP="00730DC8">
      <w:pPr>
        <w:spacing w:line="360" w:lineRule="auto"/>
        <w:jc w:val="both"/>
        <w:rPr>
          <w:b/>
          <w:lang w:val="ro-RO"/>
        </w:rPr>
      </w:pPr>
    </w:p>
    <w:p w:rsidR="009C3840" w:rsidRPr="004150D5" w:rsidRDefault="009C3840" w:rsidP="00730DC8">
      <w:pPr>
        <w:spacing w:line="360" w:lineRule="auto"/>
        <w:jc w:val="both"/>
        <w:rPr>
          <w:lang w:val="ro-RO"/>
        </w:rPr>
      </w:pPr>
      <w:r w:rsidRPr="004150D5">
        <w:rPr>
          <w:b/>
          <w:lang w:val="ro-RO"/>
        </w:rPr>
        <w:t>OLAF</w:t>
      </w:r>
      <w:r w:rsidRPr="004150D5">
        <w:rPr>
          <w:lang w:val="ro-RO"/>
        </w:rPr>
        <w:t xml:space="preserve"> - Oficiului European de Lupta Antifrauda – organism  cu rol de a a proteja interesele financiare ale Uniunii Europene, de a lupta impotriva fraudei, corupţiei şi a altor activităţi ilegale, precum şi de a combate conduita necorespunzătoare a funcţionarilor din cadrul Instituţiilor Europene   (</w:t>
      </w:r>
      <w:hyperlink r:id="rId7" w:history="1">
        <w:r w:rsidRPr="004150D5">
          <w:rPr>
            <w:rStyle w:val="Hyperlink"/>
            <w:lang w:val="ro-RO"/>
          </w:rPr>
          <w:t>http://ec.europa.eu/anti_fraud/index_en.html</w:t>
        </w:r>
      </w:hyperlink>
      <w:r w:rsidRPr="004150D5">
        <w:rPr>
          <w:lang w:val="ro-RO"/>
        </w:rPr>
        <w:t>)</w:t>
      </w:r>
    </w:p>
    <w:p w:rsidR="009C3840"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334F17">
        <w:rPr>
          <w:rFonts w:ascii="Times New Roman" w:hAnsi="Times New Roman" w:cs="Times New Roman"/>
          <w:b/>
          <w:color w:val="auto"/>
          <w:sz w:val="24"/>
          <w:szCs w:val="24"/>
          <w:lang w:val="ro-RO"/>
        </w:rPr>
        <w:t>Perioada</w:t>
      </w:r>
      <w:r w:rsidRPr="004150D5">
        <w:rPr>
          <w:rFonts w:ascii="Times New Roman" w:hAnsi="Times New Roman" w:cs="Times New Roman"/>
          <w:b/>
          <w:color w:val="auto"/>
          <w:sz w:val="24"/>
          <w:szCs w:val="24"/>
          <w:lang w:val="ro-RO"/>
        </w:rPr>
        <w:t xml:space="preserve"> de implementare a proiectului</w:t>
      </w:r>
      <w:r w:rsidRPr="004150D5">
        <w:rPr>
          <w:rFonts w:ascii="Times New Roman" w:hAnsi="Times New Roman" w:cs="Times New Roman"/>
          <w:color w:val="auto"/>
          <w:sz w:val="24"/>
          <w:szCs w:val="24"/>
          <w:lang w:val="ro-RO"/>
        </w:rPr>
        <w:t xml:space="preserve"> - perioada cuprinsă între data semnării contractului de finanţare şi data finalizării ultimei activităţi prevăzute în cadrul proiectului.</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Program operaţional</w:t>
      </w:r>
      <w:r w:rsidRPr="004150D5">
        <w:rPr>
          <w:rFonts w:ascii="Times New Roman" w:hAnsi="Times New Roman" w:cs="Times New Roman"/>
          <w:color w:val="auto"/>
          <w:sz w:val="24"/>
          <w:szCs w:val="24"/>
          <w:lang w:val="ro-RO"/>
        </w:rPr>
        <w:t xml:space="preserve"> document prezentat de un stat membru şi adoptat de Comisie care defineşte o strategie de dezvoltare în conformitate cu un ansamblu coerent de priorit</w:t>
      </w:r>
      <w:r w:rsidRPr="004150D5">
        <w:rPr>
          <w:rFonts w:ascii="Times New Roman" w:hAnsi="Times New Roman" w:cs="Times New Roman"/>
          <w:color w:val="auto"/>
          <w:sz w:val="24"/>
          <w:szCs w:val="24"/>
          <w:lang w:val="ro-RO" w:eastAsia="en-GB"/>
        </w:rPr>
        <w:t>ăţ</w:t>
      </w:r>
      <w:r w:rsidRPr="004150D5">
        <w:rPr>
          <w:rFonts w:ascii="Times New Roman" w:hAnsi="Times New Roman" w:cs="Times New Roman"/>
          <w:color w:val="auto"/>
          <w:sz w:val="24"/>
          <w:szCs w:val="24"/>
          <w:lang w:val="ro-RO"/>
        </w:rPr>
        <w:t>i, pentru a cărui realizare se face apel la un Fond sau în cadrul obiectivului Convergenta, la Fondul de Coeziune şi la Fondul European de Dezvoltare Regională.</w:t>
      </w:r>
    </w:p>
    <w:p w:rsidR="009C3840" w:rsidRPr="004150D5" w:rsidRDefault="009C3840" w:rsidP="00730DC8">
      <w:pPr>
        <w:spacing w:line="360" w:lineRule="auto"/>
        <w:jc w:val="both"/>
        <w:rPr>
          <w:rStyle w:val="Robust"/>
          <w:iCs/>
          <w:lang w:val="ro-RO"/>
        </w:rPr>
      </w:pPr>
    </w:p>
    <w:p w:rsidR="009C3840" w:rsidRPr="004150D5" w:rsidRDefault="009C3840" w:rsidP="00730DC8">
      <w:pPr>
        <w:spacing w:line="360" w:lineRule="auto"/>
        <w:jc w:val="both"/>
        <w:rPr>
          <w:lang w:val="ro-RO"/>
        </w:rPr>
      </w:pPr>
      <w:r w:rsidRPr="004150D5">
        <w:rPr>
          <w:b/>
          <w:lang w:val="ro-RO"/>
        </w:rPr>
        <w:t xml:space="preserve">Profitul din Exploatare </w:t>
      </w:r>
      <w:r w:rsidRPr="004150D5">
        <w:rPr>
          <w:lang w:val="ro-RO"/>
        </w:rPr>
        <w:t>reprezintă profitul din activitatea de baza a societatii, determinat ca diferenţa  între veniturile din exploatare si cheltuielile din exploatare, calculat conform contului de profit şi pierdere în formatul standard conform Ordinului  MFP 1752 / 2005</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spacing w:line="360" w:lineRule="auto"/>
        <w:jc w:val="both"/>
        <w:rPr>
          <w:lang w:val="ro-RO"/>
        </w:rPr>
      </w:pPr>
      <w:r w:rsidRPr="004150D5">
        <w:rPr>
          <w:b/>
          <w:lang w:val="ro-RO"/>
        </w:rPr>
        <w:lastRenderedPageBreak/>
        <w:t>Raportul de progres</w:t>
      </w:r>
      <w:r w:rsidRPr="004150D5">
        <w:rPr>
          <w:lang w:val="ro-RO"/>
        </w:rPr>
        <w:t xml:space="preserve"> - documentul standard de monitorizare ce prezintă progresul fizic al proiectului.</w:t>
      </w:r>
    </w:p>
    <w:p w:rsidR="009C3840" w:rsidRPr="004150D5" w:rsidRDefault="009C3840" w:rsidP="00730DC8">
      <w:pPr>
        <w:spacing w:line="360" w:lineRule="auto"/>
        <w:jc w:val="both"/>
        <w:rPr>
          <w:lang w:val="ro-RO"/>
        </w:rPr>
      </w:pPr>
    </w:p>
    <w:p w:rsidR="009C3840" w:rsidRPr="004150D5" w:rsidRDefault="009C3840" w:rsidP="00730DC8">
      <w:pPr>
        <w:spacing w:line="360" w:lineRule="auto"/>
        <w:jc w:val="both"/>
        <w:rPr>
          <w:lang w:val="ro-RO"/>
        </w:rPr>
      </w:pPr>
      <w:r w:rsidRPr="004150D5">
        <w:rPr>
          <w:b/>
          <w:lang w:val="ro-RO"/>
        </w:rPr>
        <w:t>Raportul privind durabilitatea investiţiei</w:t>
      </w:r>
      <w:r w:rsidRPr="004150D5">
        <w:rPr>
          <w:lang w:val="ro-RO"/>
        </w:rPr>
        <w:t xml:space="preserve"> - documentul standard pentru operaţiuni de infrastructură care atestă faptul că investiţia făcută prin proiect nu a suferit modificări substanţiale în perioada ultimilor 3 ani de la finalizare, în conformitate cu</w:t>
      </w:r>
      <w:r w:rsidRPr="004150D5">
        <w:rPr>
          <w:b/>
          <w:bCs/>
          <w:lang w:val="ro-RO"/>
        </w:rPr>
        <w:t xml:space="preserve"> </w:t>
      </w:r>
      <w:r w:rsidRPr="004150D5">
        <w:rPr>
          <w:lang w:val="ro-RO"/>
        </w:rPr>
        <w:t>Art. 57 alin.(1) din Regulamentul Comisiei Europene (EC) Nr. 1083/2006).</w:t>
      </w:r>
    </w:p>
    <w:p w:rsidR="009C3840" w:rsidRPr="004150D5" w:rsidRDefault="009C3840" w:rsidP="00730DC8">
      <w:pPr>
        <w:spacing w:line="360" w:lineRule="auto"/>
        <w:jc w:val="both"/>
        <w:rPr>
          <w:lang w:val="ro-RO"/>
        </w:rPr>
      </w:pPr>
    </w:p>
    <w:p w:rsidR="009C3840" w:rsidRPr="004150D5" w:rsidRDefault="009C3840" w:rsidP="00730DC8">
      <w:pPr>
        <w:spacing w:line="360" w:lineRule="auto"/>
        <w:jc w:val="both"/>
        <w:rPr>
          <w:lang w:val="ro-RO"/>
        </w:rPr>
      </w:pPr>
      <w:r w:rsidRPr="004150D5">
        <w:rPr>
          <w:b/>
          <w:lang w:val="ro-RO"/>
        </w:rPr>
        <w:t>Scalabilitate</w:t>
      </w:r>
      <w:r w:rsidRPr="004150D5">
        <w:rPr>
          <w:lang w:val="ro-RO"/>
        </w:rPr>
        <w:t xml:space="preserve"> – este proprietatea unui sistem, a unei reţele sau unui proces care indică abilitatea acestuia de a creşte în mod proporţional rezultatele acestuia odată cu creşterea resurselor.</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 xml:space="preserve">Semnătură electronică – </w:t>
      </w:r>
      <w:r w:rsidRPr="004150D5">
        <w:rPr>
          <w:rFonts w:ascii="Times New Roman" w:hAnsi="Times New Roman" w:cs="Times New Roman"/>
          <w:color w:val="auto"/>
          <w:sz w:val="24"/>
          <w:szCs w:val="24"/>
          <w:lang w:val="ro-RO"/>
        </w:rPr>
        <w:t xml:space="preserve">reprezintă date în formă electronică, care sunt ataşate sau logic asociate cu alte date în formă electronică şi care servesc ca metodă de identificare. (în conformitate cu Legea privind semnătura electronică nr. 455/2001);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p>
    <w:p w:rsidR="009C3840" w:rsidRPr="004150D5" w:rsidRDefault="009C3840" w:rsidP="00730DC8">
      <w:pPr>
        <w:spacing w:line="360" w:lineRule="auto"/>
        <w:jc w:val="both"/>
        <w:rPr>
          <w:lang w:val="ro-RO"/>
        </w:rPr>
      </w:pPr>
      <w:r w:rsidRPr="004150D5">
        <w:rPr>
          <w:b/>
          <w:lang w:val="ro-RO"/>
        </w:rPr>
        <w:t>Servicii publice electronice sau serviciile publice on-line</w:t>
      </w:r>
      <w:r w:rsidRPr="004150D5">
        <w:rPr>
          <w:lang w:val="ro-RO"/>
        </w:rPr>
        <w:t xml:space="preserve"> reprezintă o parte din e-guvernare prin care  serviciile publice sunt disponibile prin intermediul internetului. </w:t>
      </w:r>
    </w:p>
    <w:p w:rsidR="009C3840" w:rsidRPr="004150D5" w:rsidRDefault="009C3840" w:rsidP="00730DC8">
      <w:pPr>
        <w:spacing w:line="360" w:lineRule="auto"/>
        <w:jc w:val="both"/>
        <w:rPr>
          <w:b/>
          <w:iCs/>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 xml:space="preserve">SMIS </w:t>
      </w:r>
      <w:r w:rsidRPr="004150D5">
        <w:rPr>
          <w:rFonts w:ascii="Times New Roman" w:hAnsi="Times New Roman" w:cs="Times New Roman"/>
          <w:color w:val="auto"/>
          <w:sz w:val="24"/>
          <w:szCs w:val="24"/>
          <w:lang w:val="ro-RO"/>
        </w:rPr>
        <w:t xml:space="preserve">- Single Management Information Sistem = Sistem Unic de Management a Informaţiilor - este un sistem informatic naţional, în sprijinul organismelor naţionale pentru implementarea Cadrului Strategic Naţional de Referinţă. </w:t>
      </w: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b/>
          <w:bCs/>
          <w:color w:val="auto"/>
          <w:sz w:val="24"/>
          <w:szCs w:val="24"/>
          <w:lang w:val="ro-RO"/>
        </w:rPr>
      </w:pPr>
    </w:p>
    <w:p w:rsidR="009C3840" w:rsidRPr="004150D5" w:rsidRDefault="009C3840" w:rsidP="00730DC8">
      <w:pPr>
        <w:pStyle w:val="NormalWeb"/>
        <w:spacing w:before="0" w:beforeAutospacing="0" w:after="0" w:afterAutospacing="0" w:line="360" w:lineRule="auto"/>
        <w:jc w:val="both"/>
        <w:rPr>
          <w:rFonts w:ascii="Times New Roman" w:hAnsi="Times New Roman" w:cs="Times New Roman"/>
          <w:color w:val="auto"/>
          <w:sz w:val="24"/>
          <w:szCs w:val="24"/>
          <w:lang w:val="ro-RO"/>
        </w:rPr>
      </w:pPr>
      <w:r w:rsidRPr="004150D5">
        <w:rPr>
          <w:rFonts w:ascii="Times New Roman" w:hAnsi="Times New Roman" w:cs="Times New Roman"/>
          <w:b/>
          <w:bCs/>
          <w:color w:val="auto"/>
          <w:sz w:val="24"/>
          <w:szCs w:val="24"/>
          <w:lang w:val="ro-RO"/>
        </w:rPr>
        <w:t xml:space="preserve">Societatea informaţională </w:t>
      </w:r>
      <w:r w:rsidRPr="004150D5">
        <w:rPr>
          <w:rFonts w:ascii="Times New Roman" w:hAnsi="Times New Roman" w:cs="Times New Roman"/>
          <w:color w:val="auto"/>
          <w:sz w:val="24"/>
          <w:szCs w:val="24"/>
          <w:lang w:val="ro-RO"/>
        </w:rPr>
        <w:t xml:space="preserve">- este societatea în care producerea şi consumul de informaţie este cel mai important tip de activitate, informaţia este recunoscută drept resursă principală, tehnologiile informaţiei şi comunicaţiilor sunt tehnologii de bază, iar mediul informaţional, împreună cu cel social şi cel ecologic – un mediu de existenţă a omului. </w:t>
      </w:r>
    </w:p>
    <w:p w:rsidR="009C3840" w:rsidRPr="004150D5" w:rsidRDefault="009C3840" w:rsidP="00730DC8">
      <w:pPr>
        <w:spacing w:line="360" w:lineRule="auto"/>
        <w:jc w:val="both"/>
        <w:rPr>
          <w:b/>
          <w:bCs/>
          <w:lang w:val="ro-RO"/>
        </w:rPr>
      </w:pPr>
    </w:p>
    <w:p w:rsidR="009C3840" w:rsidRPr="00AB527A" w:rsidRDefault="009C3840" w:rsidP="00AB527A">
      <w:pPr>
        <w:pStyle w:val="NormalWeb"/>
        <w:spacing w:before="0" w:beforeAutospacing="0" w:after="0" w:afterAutospacing="0" w:line="360" w:lineRule="auto"/>
        <w:jc w:val="both"/>
        <w:rPr>
          <w:rFonts w:ascii="Times New Roman" w:hAnsi="Times New Roman" w:cs="Times New Roman"/>
          <w:b/>
          <w:bCs/>
          <w:color w:val="auto"/>
          <w:sz w:val="24"/>
          <w:szCs w:val="24"/>
          <w:lang w:val="ro-RO"/>
        </w:rPr>
      </w:pPr>
      <w:r w:rsidRPr="004150D5">
        <w:rPr>
          <w:rFonts w:ascii="Times New Roman" w:hAnsi="Times New Roman" w:cs="Times New Roman"/>
          <w:b/>
          <w:bCs/>
          <w:color w:val="auto"/>
          <w:sz w:val="24"/>
          <w:szCs w:val="24"/>
          <w:lang w:val="ro-RO"/>
        </w:rPr>
        <w:t xml:space="preserve">TIC - ITC - </w:t>
      </w:r>
      <w:r w:rsidRPr="004150D5">
        <w:rPr>
          <w:rFonts w:ascii="Times New Roman" w:hAnsi="Times New Roman" w:cs="Times New Roman"/>
          <w:b/>
          <w:color w:val="auto"/>
          <w:sz w:val="24"/>
          <w:szCs w:val="24"/>
          <w:lang w:val="ro-RO"/>
        </w:rPr>
        <w:t xml:space="preserve">IT&amp;C </w:t>
      </w:r>
      <w:r w:rsidRPr="004150D5">
        <w:rPr>
          <w:rFonts w:ascii="Times New Roman" w:hAnsi="Times New Roman" w:cs="Times New Roman"/>
          <w:b/>
          <w:bCs/>
          <w:color w:val="auto"/>
          <w:sz w:val="24"/>
          <w:szCs w:val="24"/>
          <w:lang w:val="ro-RO"/>
        </w:rPr>
        <w:t xml:space="preserve"> </w:t>
      </w:r>
      <w:r w:rsidRPr="004150D5">
        <w:rPr>
          <w:rFonts w:ascii="Times New Roman" w:hAnsi="Times New Roman" w:cs="Times New Roman"/>
          <w:color w:val="auto"/>
          <w:sz w:val="24"/>
          <w:szCs w:val="24"/>
          <w:lang w:val="ro-RO"/>
        </w:rPr>
        <w:t>- Tehnologia Informaţiei şi Comunicaţiilor</w:t>
      </w:r>
    </w:p>
    <w:sectPr w:rsidR="009C3840" w:rsidRPr="00AB527A" w:rsidSect="00BE2DA8">
      <w:headerReference w:type="default" r:id="rId8"/>
      <w:footerReference w:type="even" r:id="rId9"/>
      <w:pgSz w:w="11907" w:h="16840"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40" w:rsidRDefault="009C3840" w:rsidP="006C6BCC">
      <w:r>
        <w:separator/>
      </w:r>
    </w:p>
  </w:endnote>
  <w:endnote w:type="continuationSeparator" w:id="0">
    <w:p w:rsidR="009C3840" w:rsidRDefault="009C3840" w:rsidP="006C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40" w:rsidRDefault="009C3840" w:rsidP="00803C0E">
    <w:pPr>
      <w:pStyle w:val="Subsol"/>
      <w:framePr w:wrap="auto"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147</w:t>
    </w:r>
    <w:r>
      <w:rPr>
        <w:rStyle w:val="Numrdepagin"/>
      </w:rPr>
      <w:fldChar w:fldCharType="end"/>
    </w:r>
  </w:p>
  <w:p w:rsidR="009C3840" w:rsidRDefault="009C384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40" w:rsidRDefault="009C3840" w:rsidP="006C6BCC">
      <w:r>
        <w:separator/>
      </w:r>
    </w:p>
  </w:footnote>
  <w:footnote w:type="continuationSeparator" w:id="0">
    <w:p w:rsidR="009C3840" w:rsidRDefault="009C3840" w:rsidP="006C6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744" w:rsidRPr="00AD5BD0" w:rsidRDefault="001C533F" w:rsidP="00375744">
    <w:pPr>
      <w:ind w:left="1418"/>
      <w:jc w:val="center"/>
      <w:rPr>
        <w:iCs/>
        <w:sz w:val="18"/>
        <w:szCs w:val="18"/>
      </w:rPr>
    </w:pPr>
    <w:r>
      <w:rPr>
        <w:noProof/>
        <w:lang w:eastAsia="ro-RO"/>
      </w:rPr>
      <w:pict>
        <v:group id="_x0000_s2055" style="position:absolute;left:0;text-align:left;margin-left:-.8pt;margin-top:-5.35pt;width:83.95pt;height:65.1pt;z-index:251659264" coordorigin="1395,599" coordsize="1679,1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411;top:599;width:1627;height:1077" o:cliptowrap="t">
            <v:imagedata r:id="rId1" o:title=""/>
            <o:lock v:ext="edit" aspectratio="f"/>
          </v:shape>
          <v:shapetype id="_x0000_t202" coordsize="21600,21600" o:spt="202" path="m,l,21600r21600,l21600,xe">
            <v:stroke joinstyle="miter"/>
            <v:path gradientshapeok="t" o:connecttype="rect"/>
          </v:shapetype>
          <v:shape id="_x0000_s2057" type="#_x0000_t202" style="position:absolute;left:1395;top:1722;width:1679;height:179" stroked="f" o:cliptowrap="t">
            <v:textbox style="mso-next-textbox:#_x0000_s2057" inset="0,0,0,0">
              <w:txbxContent>
                <w:p w:rsidR="00375744" w:rsidRPr="00C12C01" w:rsidRDefault="00375744" w:rsidP="00375744">
                  <w:pPr>
                    <w:jc w:val="center"/>
                    <w:rPr>
                      <w:rFonts w:ascii="Arial" w:hAnsi="Arial" w:cs="Arial"/>
                      <w:b/>
                      <w:bCs/>
                      <w:color w:val="003399"/>
                      <w:spacing w:val="14"/>
                      <w:sz w:val="12"/>
                      <w:szCs w:val="13"/>
                    </w:rPr>
                  </w:pPr>
                  <w:r w:rsidRPr="00C12C01">
                    <w:rPr>
                      <w:rFonts w:ascii="Arial" w:hAnsi="Arial" w:cs="Arial"/>
                      <w:b/>
                      <w:bCs/>
                      <w:color w:val="003399"/>
                      <w:spacing w:val="14"/>
                      <w:sz w:val="12"/>
                      <w:szCs w:val="13"/>
                      <w:lang w:val="en"/>
                    </w:rPr>
                    <w:t>UNIUNEA  EUROPEANĂ</w:t>
                  </w:r>
                </w:p>
              </w:txbxContent>
            </v:textbox>
          </v:shape>
        </v:group>
      </w:pict>
    </w:r>
    <w:r>
      <w:rPr>
        <w:noProof/>
        <w:lang w:eastAsia="ro-RO"/>
      </w:rPr>
      <w:pict>
        <v:group id="_x0000_s2051" style="position:absolute;left:0;text-align:left;margin-left:425.6pt;margin-top:-8.1pt;width:59.25pt;height:70.7pt;z-index:251657216" coordorigin="9923,544" coordsize="1185,1414">
          <v:shape id="_x0000_s2052" type="#_x0000_t75" style="position:absolute;left:9923;top:544;width:1185;height:1140" o:cliptowrap="t">
            <v:imagedata r:id="rId2" o:title=""/>
            <o:lock v:ext="edit" aspectratio="f"/>
          </v:shape>
          <v:shape id="_x0000_s2053" type="#_x0000_t202" style="position:absolute;left:9956;top:1701;width:1152;height:257" stroked="f" o:cliptowrap="t">
            <v:textbox style="mso-next-textbox:#_x0000_s2053" inset="0,0,0,0">
              <w:txbxContent>
                <w:p w:rsidR="00375744" w:rsidRPr="00D85621" w:rsidRDefault="00375744" w:rsidP="00375744">
                  <w:pPr>
                    <w:jc w:val="center"/>
                    <w:rPr>
                      <w:rFonts w:ascii="Arial" w:hAnsi="Arial" w:cs="Arial"/>
                      <w:bCs/>
                      <w:sz w:val="10"/>
                      <w:szCs w:val="10"/>
                    </w:rPr>
                  </w:pPr>
                  <w:r w:rsidRPr="00D85621">
                    <w:rPr>
                      <w:rFonts w:ascii="Arial" w:hAnsi="Arial" w:cs="Arial"/>
                      <w:bCs/>
                      <w:sz w:val="10"/>
                      <w:szCs w:val="10"/>
                    </w:rPr>
                    <w:t>Instrumente Structurale</w:t>
                  </w:r>
                  <w:r w:rsidRPr="00D85621">
                    <w:rPr>
                      <w:rFonts w:ascii="Arial" w:hAnsi="Arial" w:cs="Arial"/>
                      <w:bCs/>
                      <w:sz w:val="10"/>
                      <w:szCs w:val="10"/>
                    </w:rPr>
                    <w:br/>
                    <w:t>2007 - 2013</w:t>
                  </w:r>
                </w:p>
              </w:txbxContent>
            </v:textbox>
          </v:shape>
        </v:group>
      </w:pict>
    </w:r>
    <w:r>
      <w:rPr>
        <w:noProof/>
        <w:lang w:eastAsia="ro-RO"/>
      </w:rPr>
      <w:pict>
        <v:shape id="Picture 9" o:spid="_x0000_s2054" type="#_x0000_t75" style="position:absolute;left:0;text-align:left;margin-left:222.7pt;margin-top:-7.45pt;width:55.15pt;height:56.25pt;z-index:251658240;visibility:visible">
          <v:imagedata r:id="rId3" o:title=""/>
        </v:shape>
      </w:pict>
    </w:r>
  </w:p>
  <w:p w:rsidR="00375744" w:rsidRDefault="00375744" w:rsidP="00375744">
    <w:pPr>
      <w:ind w:left="1418"/>
      <w:rPr>
        <w:iCs/>
        <w:sz w:val="18"/>
        <w:szCs w:val="18"/>
      </w:rPr>
    </w:pPr>
  </w:p>
  <w:p w:rsidR="00375744" w:rsidRDefault="00375744" w:rsidP="00375744">
    <w:pPr>
      <w:ind w:left="1418"/>
      <w:rPr>
        <w:iCs/>
        <w:sz w:val="18"/>
        <w:szCs w:val="18"/>
      </w:rPr>
    </w:pPr>
  </w:p>
  <w:p w:rsidR="00375744" w:rsidRDefault="00375744" w:rsidP="00375744">
    <w:pPr>
      <w:ind w:left="1418"/>
      <w:rPr>
        <w:iCs/>
        <w:sz w:val="18"/>
        <w:szCs w:val="18"/>
      </w:rPr>
    </w:pPr>
  </w:p>
  <w:p w:rsidR="00375744" w:rsidRDefault="00375744" w:rsidP="00375744">
    <w:pPr>
      <w:ind w:left="1418"/>
      <w:rPr>
        <w:iCs/>
        <w:sz w:val="18"/>
        <w:szCs w:val="18"/>
      </w:rPr>
    </w:pPr>
  </w:p>
  <w:p w:rsidR="00375744" w:rsidRDefault="00375744" w:rsidP="00375744">
    <w:pPr>
      <w:ind w:left="1418"/>
      <w:rPr>
        <w:iCs/>
        <w:sz w:val="18"/>
        <w:szCs w:val="18"/>
      </w:rPr>
    </w:pPr>
  </w:p>
  <w:p w:rsidR="00375744" w:rsidRDefault="001C533F" w:rsidP="00375744">
    <w:pPr>
      <w:ind w:left="1418"/>
      <w:rPr>
        <w:iCs/>
        <w:sz w:val="18"/>
        <w:szCs w:val="18"/>
      </w:rPr>
    </w:pPr>
    <w:r>
      <w:rPr>
        <w:iCs/>
        <w:noProof/>
        <w:sz w:val="18"/>
        <w:szCs w:val="18"/>
        <w:lang w:eastAsia="ro-RO"/>
      </w:rPr>
      <w:pict>
        <v:line id="_x0000_s2050" style="position:absolute;left:0;text-align:left;z-index:251656192" from="0,1.8pt" to="478.35pt,1.8pt"/>
      </w:pict>
    </w:r>
  </w:p>
  <w:p w:rsidR="00375744" w:rsidRDefault="00375744" w:rsidP="00375744">
    <w:pPr>
      <w:jc w:val="center"/>
      <w:rPr>
        <w:iCs/>
        <w:sz w:val="18"/>
        <w:szCs w:val="18"/>
      </w:rPr>
    </w:pPr>
    <w:r w:rsidRPr="00984476">
      <w:rPr>
        <w:iCs/>
        <w:sz w:val="18"/>
        <w:szCs w:val="18"/>
      </w:rPr>
      <w:t xml:space="preserve">Programul Operaţional Sectorial </w:t>
    </w:r>
    <w:r>
      <w:rPr>
        <w:iCs/>
        <w:sz w:val="18"/>
        <w:szCs w:val="18"/>
      </w:rPr>
      <w:t>„</w:t>
    </w:r>
    <w:r w:rsidRPr="00984476">
      <w:rPr>
        <w:iCs/>
        <w:sz w:val="18"/>
        <w:szCs w:val="18"/>
      </w:rPr>
      <w:t>Creşterea Competitiv</w:t>
    </w:r>
    <w:r>
      <w:rPr>
        <w:iCs/>
        <w:sz w:val="18"/>
        <w:szCs w:val="18"/>
      </w:rPr>
      <w:t>ităţii Economice (POS CCE) 2007–</w:t>
    </w:r>
    <w:smartTag w:uri="urn:schemas-microsoft-com:office:smarttags" w:element="metricconverter">
      <w:smartTagPr>
        <w:attr w:name="ProductID" w:val="2013”"/>
      </w:smartTagPr>
      <w:r w:rsidRPr="00984476">
        <w:rPr>
          <w:iCs/>
          <w:sz w:val="18"/>
          <w:szCs w:val="18"/>
        </w:rPr>
        <w:t>2013</w:t>
      </w:r>
      <w:r>
        <w:rPr>
          <w:iCs/>
          <w:sz w:val="18"/>
          <w:szCs w:val="18"/>
        </w:rPr>
        <w:t>”</w:t>
      </w:r>
    </w:smartTag>
    <w:r>
      <w:rPr>
        <w:iCs/>
        <w:sz w:val="18"/>
        <w:szCs w:val="18"/>
      </w:rPr>
      <w:t xml:space="preserve"> </w:t>
    </w:r>
  </w:p>
  <w:p w:rsidR="00375744" w:rsidRPr="00984476" w:rsidRDefault="00375744" w:rsidP="00375744">
    <w:pPr>
      <w:jc w:val="center"/>
      <w:rPr>
        <w:iCs/>
        <w:sz w:val="18"/>
        <w:szCs w:val="18"/>
      </w:rPr>
    </w:pPr>
    <w:r>
      <w:rPr>
        <w:iCs/>
        <w:sz w:val="18"/>
        <w:szCs w:val="18"/>
      </w:rPr>
      <w:t>– co-finanţat din Fondul European de Dezvoltare Regională –</w:t>
    </w:r>
  </w:p>
  <w:p w:rsidR="00375744" w:rsidRPr="00777904" w:rsidRDefault="00375744" w:rsidP="00375744">
    <w:pPr>
      <w:jc w:val="center"/>
      <w:rPr>
        <w:iCs/>
        <w:sz w:val="18"/>
        <w:szCs w:val="18"/>
      </w:rPr>
    </w:pPr>
    <w:r w:rsidRPr="00777904">
      <w:rPr>
        <w:iCs/>
        <w:sz w:val="18"/>
        <w:szCs w:val="18"/>
      </w:rPr>
      <w:t xml:space="preserve">Axa Prioritară </w:t>
    </w:r>
    <w:r>
      <w:rPr>
        <w:iCs/>
        <w:sz w:val="18"/>
        <w:szCs w:val="18"/>
      </w:rPr>
      <w:t>3 –</w:t>
    </w:r>
    <w:r w:rsidRPr="00777904">
      <w:rPr>
        <w:iCs/>
        <w:sz w:val="18"/>
        <w:szCs w:val="18"/>
      </w:rPr>
      <w:t xml:space="preserve"> </w:t>
    </w:r>
    <w:r>
      <w:rPr>
        <w:iCs/>
        <w:sz w:val="18"/>
        <w:szCs w:val="18"/>
      </w:rPr>
      <w:t>„Tehnologia Informaţiei şi comunicaţiilor pentru sectoarele privat şi public”</w:t>
    </w:r>
    <w:r w:rsidRPr="00777904">
      <w:rPr>
        <w:iCs/>
        <w:sz w:val="18"/>
        <w:szCs w:val="18"/>
      </w:rPr>
      <w:t xml:space="preserve"> </w:t>
    </w:r>
  </w:p>
  <w:p w:rsidR="00375744" w:rsidRPr="00777904" w:rsidRDefault="00375744" w:rsidP="00375744">
    <w:pPr>
      <w:jc w:val="center"/>
      <w:rPr>
        <w:iCs/>
        <w:sz w:val="18"/>
        <w:szCs w:val="18"/>
      </w:rPr>
    </w:pPr>
    <w:r w:rsidRPr="00777904">
      <w:rPr>
        <w:iCs/>
        <w:sz w:val="18"/>
        <w:szCs w:val="18"/>
      </w:rPr>
      <w:t>Domeniul</w:t>
    </w:r>
    <w:r>
      <w:rPr>
        <w:iCs/>
        <w:sz w:val="18"/>
        <w:szCs w:val="18"/>
      </w:rPr>
      <w:t xml:space="preserve"> major</w:t>
    </w:r>
    <w:r w:rsidR="001C533F">
      <w:rPr>
        <w:iCs/>
        <w:sz w:val="18"/>
        <w:szCs w:val="18"/>
      </w:rPr>
      <w:t xml:space="preserve"> de intervenţie 3.</w:t>
    </w:r>
    <w:r>
      <w:rPr>
        <w:iCs/>
        <w:sz w:val="18"/>
        <w:szCs w:val="18"/>
      </w:rPr>
      <w:t>2 –</w:t>
    </w:r>
    <w:r w:rsidRPr="00777904">
      <w:rPr>
        <w:iCs/>
        <w:sz w:val="18"/>
        <w:szCs w:val="18"/>
      </w:rPr>
      <w:t xml:space="preserve"> </w:t>
    </w:r>
    <w:r>
      <w:rPr>
        <w:iCs/>
        <w:sz w:val="18"/>
        <w:szCs w:val="18"/>
      </w:rPr>
      <w:t xml:space="preserve">„Dezvoltarea </w:t>
    </w:r>
    <w:r>
      <w:rPr>
        <w:iCs/>
        <w:sz w:val="18"/>
        <w:szCs w:val="18"/>
        <w:lang w:val="ro-RO"/>
      </w:rPr>
      <w:t>şi creşterea eficienţei serviciilor publice electronice”</w:t>
    </w:r>
  </w:p>
  <w:p w:rsidR="00375744" w:rsidRDefault="00375744" w:rsidP="00375744">
    <w:pPr>
      <w:jc w:val="center"/>
    </w:pPr>
    <w:r w:rsidRPr="00777904">
      <w:rPr>
        <w:sz w:val="18"/>
        <w:szCs w:val="18"/>
      </w:rPr>
      <w:t xml:space="preserve">Operaţiunea </w:t>
    </w:r>
    <w:r>
      <w:rPr>
        <w:sz w:val="18"/>
        <w:szCs w:val="18"/>
      </w:rPr>
      <w:t>3.2.2 – „Implementarea de sisteme TIC în scopul creşterii interoperabilităţii sistemelor informatice”</w:t>
    </w:r>
  </w:p>
  <w:p w:rsidR="009C3840" w:rsidRPr="00375744" w:rsidRDefault="009C3840" w:rsidP="00375744">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DC8"/>
    <w:rsid w:val="00057A43"/>
    <w:rsid w:val="000D2EB8"/>
    <w:rsid w:val="00193ABA"/>
    <w:rsid w:val="001A3386"/>
    <w:rsid w:val="001C533F"/>
    <w:rsid w:val="00334F17"/>
    <w:rsid w:val="00375744"/>
    <w:rsid w:val="003D1314"/>
    <w:rsid w:val="003F50AD"/>
    <w:rsid w:val="004150D5"/>
    <w:rsid w:val="00537663"/>
    <w:rsid w:val="00542E95"/>
    <w:rsid w:val="006B14F3"/>
    <w:rsid w:val="006C6BCC"/>
    <w:rsid w:val="006D19E2"/>
    <w:rsid w:val="006F3354"/>
    <w:rsid w:val="00730DC8"/>
    <w:rsid w:val="00736891"/>
    <w:rsid w:val="00803C0E"/>
    <w:rsid w:val="00850E8B"/>
    <w:rsid w:val="008967BD"/>
    <w:rsid w:val="008B58B7"/>
    <w:rsid w:val="008E7813"/>
    <w:rsid w:val="009C3840"/>
    <w:rsid w:val="00AB527A"/>
    <w:rsid w:val="00BB1456"/>
    <w:rsid w:val="00BD656D"/>
    <w:rsid w:val="00BE2DA8"/>
    <w:rsid w:val="00C81F65"/>
    <w:rsid w:val="00CD5B3B"/>
    <w:rsid w:val="00E07404"/>
    <w:rsid w:val="00E378D4"/>
    <w:rsid w:val="00F00C61"/>
    <w:rsid w:val="00F464C2"/>
    <w:rsid w:val="00F7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C8"/>
    <w:rPr>
      <w:rFonts w:ascii="Times New Roman" w:hAnsi="Times New Roman"/>
      <w:sz w:val="24"/>
      <w:szCs w:val="24"/>
    </w:rPr>
  </w:style>
  <w:style w:type="paragraph" w:styleId="Titlu1">
    <w:name w:val="heading 1"/>
    <w:aliases w:val="intoduction,Outline1,rozdzial,Numbered - 1,Section Heading,h1,numbered indent 1,ni1"/>
    <w:basedOn w:val="Normal"/>
    <w:next w:val="Normal"/>
    <w:link w:val="Titlu1Caracter"/>
    <w:uiPriority w:val="99"/>
    <w:qFormat/>
    <w:rsid w:val="00730DC8"/>
    <w:pPr>
      <w:keepNext/>
      <w:spacing w:before="240" w:after="60"/>
      <w:outlineLvl w:val="0"/>
    </w:pPr>
    <w:rPr>
      <w:rFonts w:ascii="Cambria" w:eastAsia="Times New Roman"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intoduction Caracter,Outline1 Caracter,rozdzial Caracter,Numbered - 1 Caracter,Section Heading Caracter,h1 Caracter,numbered indent 1 Caracter,ni1 Caracter"/>
    <w:basedOn w:val="Fontdeparagrafimplicit"/>
    <w:link w:val="Titlu1"/>
    <w:uiPriority w:val="99"/>
    <w:locked/>
    <w:rsid w:val="00730DC8"/>
    <w:rPr>
      <w:rFonts w:ascii="Cambria" w:hAnsi="Cambria" w:cs="Times New Roman"/>
      <w:b/>
      <w:bCs/>
      <w:kern w:val="32"/>
      <w:sz w:val="32"/>
      <w:szCs w:val="32"/>
    </w:rPr>
  </w:style>
  <w:style w:type="paragraph" w:styleId="Corptext">
    <w:name w:val="Body Text"/>
    <w:aliases w:val="block style,Body,b,Standard paragraph"/>
    <w:basedOn w:val="Normal"/>
    <w:link w:val="CorptextCaracter"/>
    <w:uiPriority w:val="99"/>
    <w:rsid w:val="00730DC8"/>
    <w:pPr>
      <w:spacing w:after="120"/>
    </w:pPr>
    <w:rPr>
      <w:rFonts w:eastAsia="Times New Roman"/>
    </w:rPr>
  </w:style>
  <w:style w:type="character" w:customStyle="1" w:styleId="CorptextCaracter">
    <w:name w:val="Corp text Caracter"/>
    <w:aliases w:val="block style Caracter,Body Caracter,b Caracter,Standard paragraph Caracter"/>
    <w:basedOn w:val="Fontdeparagrafimplicit"/>
    <w:link w:val="Corptext"/>
    <w:uiPriority w:val="99"/>
    <w:locked/>
    <w:rsid w:val="00730DC8"/>
    <w:rPr>
      <w:rFonts w:ascii="Times New Roman" w:hAnsi="Times New Roman" w:cs="Times New Roman"/>
      <w:sz w:val="24"/>
      <w:szCs w:val="24"/>
    </w:rPr>
  </w:style>
  <w:style w:type="paragraph" w:styleId="Subsol">
    <w:name w:val="footer"/>
    <w:basedOn w:val="Normal"/>
    <w:link w:val="SubsolCaracter"/>
    <w:uiPriority w:val="99"/>
    <w:rsid w:val="00730DC8"/>
    <w:pPr>
      <w:tabs>
        <w:tab w:val="center" w:pos="4320"/>
        <w:tab w:val="right" w:pos="8640"/>
      </w:tabs>
    </w:pPr>
  </w:style>
  <w:style w:type="character" w:customStyle="1" w:styleId="SubsolCaracter">
    <w:name w:val="Subsol Caracter"/>
    <w:basedOn w:val="Fontdeparagrafimplicit"/>
    <w:link w:val="Subsol"/>
    <w:uiPriority w:val="99"/>
    <w:locked/>
    <w:rsid w:val="00730DC8"/>
    <w:rPr>
      <w:rFonts w:ascii="Times New Roman" w:hAnsi="Times New Roman" w:cs="Times New Roman"/>
      <w:sz w:val="24"/>
      <w:szCs w:val="24"/>
    </w:rPr>
  </w:style>
  <w:style w:type="character" w:styleId="Numrdepagin">
    <w:name w:val="page number"/>
    <w:basedOn w:val="Fontdeparagrafimplicit"/>
    <w:uiPriority w:val="99"/>
    <w:rsid w:val="00730DC8"/>
    <w:rPr>
      <w:rFonts w:cs="Times New Roman"/>
    </w:rPr>
  </w:style>
  <w:style w:type="character" w:styleId="Hyperlink">
    <w:name w:val="Hyperlink"/>
    <w:basedOn w:val="Fontdeparagrafimplicit"/>
    <w:uiPriority w:val="99"/>
    <w:rsid w:val="00730DC8"/>
    <w:rPr>
      <w:rFonts w:cs="Times New Roman"/>
      <w:color w:val="0000FF"/>
      <w:u w:val="single"/>
    </w:rPr>
  </w:style>
  <w:style w:type="paragraph" w:styleId="Antet">
    <w:name w:val="header"/>
    <w:basedOn w:val="Normal"/>
    <w:link w:val="AntetCaracter"/>
    <w:rsid w:val="00730DC8"/>
    <w:pPr>
      <w:tabs>
        <w:tab w:val="center" w:pos="4320"/>
        <w:tab w:val="right" w:pos="8640"/>
      </w:tabs>
    </w:pPr>
  </w:style>
  <w:style w:type="character" w:customStyle="1" w:styleId="AntetCaracter">
    <w:name w:val="Antet Caracter"/>
    <w:basedOn w:val="Fontdeparagrafimplicit"/>
    <w:link w:val="Antet"/>
    <w:locked/>
    <w:rsid w:val="00730DC8"/>
    <w:rPr>
      <w:rFonts w:ascii="Times New Roman" w:hAnsi="Times New Roman" w:cs="Times New Roman"/>
      <w:sz w:val="24"/>
      <w:szCs w:val="24"/>
    </w:rPr>
  </w:style>
  <w:style w:type="character" w:styleId="Robust">
    <w:name w:val="Strong"/>
    <w:basedOn w:val="Fontdeparagrafimplicit"/>
    <w:uiPriority w:val="99"/>
    <w:qFormat/>
    <w:rsid w:val="00730DC8"/>
    <w:rPr>
      <w:rFonts w:cs="Times New Roman"/>
      <w:b/>
      <w:bCs/>
    </w:rPr>
  </w:style>
  <w:style w:type="paragraph" w:styleId="NormalWeb">
    <w:name w:val="Normal (Web)"/>
    <w:basedOn w:val="Normal"/>
    <w:uiPriority w:val="99"/>
    <w:rsid w:val="00730DC8"/>
    <w:pPr>
      <w:spacing w:before="100" w:beforeAutospacing="1" w:after="100" w:afterAutospacing="1"/>
    </w:pPr>
    <w:rPr>
      <w:rFonts w:ascii="Geneva" w:eastAsia="Arial Unicode MS" w:hAnsi="Geneva" w:cs="Arial Unicode MS"/>
      <w:color w:val="000066"/>
      <w:sz w:val="20"/>
      <w:szCs w:val="20"/>
      <w:lang w:val="en-GB"/>
    </w:rPr>
  </w:style>
  <w:style w:type="paragraph" w:customStyle="1" w:styleId="DefaultText">
    <w:name w:val="Default Text"/>
    <w:basedOn w:val="Normal"/>
    <w:uiPriority w:val="99"/>
    <w:rsid w:val="00730DC8"/>
    <w:pPr>
      <w:overflowPunct w:val="0"/>
      <w:autoSpaceDE w:val="0"/>
      <w:autoSpaceDN w:val="0"/>
      <w:adjustRightInd w:val="0"/>
      <w:textAlignment w:val="baseline"/>
    </w:pPr>
    <w:rPr>
      <w:szCs w:val="20"/>
      <w:lang w:val="ro-RO"/>
    </w:rPr>
  </w:style>
  <w:style w:type="paragraph" w:customStyle="1" w:styleId="MediumGrid21">
    <w:name w:val="Medium Grid 21"/>
    <w:uiPriority w:val="99"/>
    <w:rsid w:val="008B58B7"/>
    <w:rPr>
      <w:rFonts w:ascii="Trebuchet MS" w:eastAsia="MS Mincho" w:hAnsi="Trebuchet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anti_fraud/index_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1582</Words>
  <Characters>9179</Characters>
  <Application>Microsoft Office Word</Application>
  <DocSecurity>0</DocSecurity>
  <Lines>76</Lines>
  <Paragraphs>21</Paragraphs>
  <ScaleCrop>false</ScaleCrop>
  <Company>MCSI</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corina.gheorghiu</dc:creator>
  <cp:keywords/>
  <dc:description/>
  <cp:lastModifiedBy>admin</cp:lastModifiedBy>
  <cp:revision>8</cp:revision>
  <dcterms:created xsi:type="dcterms:W3CDTF">2013-04-09T06:18:00Z</dcterms:created>
  <dcterms:modified xsi:type="dcterms:W3CDTF">2014-11-07T10:54:00Z</dcterms:modified>
</cp:coreProperties>
</file>